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D5F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t>19319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t>GRADITELJSKA, PRIRODOSLOVNA I RUDARSKA ŠKOLA, VARAŽDIN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D5F60" w:rsidRDefault="00CD50EE">
            <w:pPr>
              <w:spacing w:after="0" w:line="240" w:lineRule="auto"/>
            </w:pPr>
            <w:r>
              <w:t>31</w:t>
            </w:r>
          </w:p>
        </w:tc>
      </w:tr>
    </w:tbl>
    <w:p w:rsidR="003D5F60" w:rsidRDefault="00CD50EE">
      <w:r>
        <w:br/>
      </w:r>
    </w:p>
    <w:p w:rsidR="003D5F60" w:rsidRDefault="00CD50E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D5F60" w:rsidRDefault="00CD50E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D5F60" w:rsidRDefault="00CD50E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2.969.832,12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3.320.124,60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2.924.172,72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3.357.069,19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36.944,59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25.016,51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166.835,12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666,9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25.016,51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166.835,12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666,9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203.779,71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rPr>
          <w:b/>
        </w:rPr>
        <w:t>Razrada prihoda poslovanja:</w:t>
      </w:r>
    </w:p>
    <w:p w:rsidR="003D5F60" w:rsidRDefault="00CD50EE">
      <w:r>
        <w:br/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2.969.832,12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3.320.124,60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Škola je u razdoblju siječanj-prosinac 2024. godine ostvarila ukupan prihod u iznosu 3.320.124,60 € i to kako slijedi: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Prihodi iz državnog proračuna (636)-2.740.869,82€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Tekuće pomoći temeljem prijenosa Eu sredstava(638,639)-123.752,49€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Prihodi od kamata (6</w:t>
      </w:r>
      <w:r>
        <w:t>413,6414)-2.033,44€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Ostali nespomenuti prihodi (6526)-4.220,37€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Vlastiti prihodi (661)-59.024,32€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Prihodi iz županijskog proračuna za financiranje redovne djelatnosti (671)-390.224,16€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2.590.841,06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2.740.869,82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prihodi iz državnog proračuna ostvareni u iznosu 2.740.869,82€ namijenjeni su za pokriće rashoda za zaposlene, državna natjecanja, mentorstva i slično.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64.799,40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Tekuće pomoći temeljem prijenosa EU sredstava odnose se na uplatu sredstava za projekt "</w:t>
      </w:r>
      <w:proofErr w:type="spellStart"/>
      <w:r>
        <w:t>Erasmus</w:t>
      </w:r>
      <w:proofErr w:type="spellEnd"/>
      <w:r>
        <w:t>+ za 2024. Ključna aktivnost 1 u području strukovnog obrazovanja i osposobljavanja-broj projekta 2024-1-HR01-KA 122-VET-000226786" u iznosu od 70.191,00€.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lastRenderedPageBreak/>
        <w:t>Bilje</w:t>
      </w:r>
      <w:r>
        <w:rPr>
          <w:sz w:val="28"/>
        </w:rPr>
        <w:t>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7.527,17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1888,0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Tekuće pomoći temeljem prijenosa EU sredstava u iznosu od 7.527,17€ odnose se na projekt "I ti možeš"-asistenti u nastavi.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21.636,78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69,5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Tekuće pomoći temeljem prijenosa EU sredstava u iznosu od 15.034,32€ odnose se na projekt "I ti možeš"-asistenti u nastavi.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Kapitalni prijenosi iz Županije odnose se na prijenos EU sredstava za projekt "Rekonstrukcija i opremanje-Graditeljska, prirodoslovna i rudarska škola Varaždin" u iznosu od 31.000,00€ za 2025. godinu.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49.293,96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Škola je u razdoblju siječanj-prosinac ostvarila vlastite prihode u iznosu od 59.024,32€ i to od:</w:t>
      </w:r>
    </w:p>
    <w:p w:rsidR="003D5F60" w:rsidRDefault="00CD50EE">
      <w:r>
        <w:t>-obrazovne djelatnosti: 9.955,00 €</w:t>
      </w:r>
    </w:p>
    <w:p w:rsidR="003D5F60" w:rsidRDefault="00CD50EE">
      <w:r>
        <w:t>-usluge istraživanja, geomehaničkog bušenja: 29.456,00 €</w:t>
      </w:r>
    </w:p>
    <w:p w:rsidR="003D5F60" w:rsidRDefault="00CD50EE">
      <w:r>
        <w:lastRenderedPageBreak/>
        <w:t xml:space="preserve">-izrade duplikata svjedodžbi, prijepisa ocjena i </w:t>
      </w:r>
      <w:proofErr w:type="spellStart"/>
      <w:r>
        <w:t>sl</w:t>
      </w:r>
      <w:proofErr w:type="spellEnd"/>
      <w:r>
        <w:t>: 1.070,00 €</w:t>
      </w:r>
    </w:p>
    <w:p w:rsidR="003D5F60" w:rsidRDefault="00CD50EE">
      <w:r>
        <w:t>-iznajmljivanje prostora i opreme: 18.099,20€</w:t>
      </w:r>
    </w:p>
    <w:p w:rsidR="003D5F60" w:rsidRDefault="00CD50EE">
      <w:r>
        <w:t>-isporučeni višak električne energije: 444,12 €</w:t>
      </w:r>
    </w:p>
    <w:p w:rsidR="003D5F60" w:rsidRDefault="00CD50EE">
      <w:r>
        <w:t> 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233.595,57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390.224,16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167,1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Prihodi iz županijskog proračuna ostvareni u iznosu 390.224,16€ namijenjeni su za pokriće materijalnih, financijskih i ostalih rashoda, te za nabavu opreme i dodatna ulaganja na građevinskim objektima.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36.944,59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U izvještajnom razdoblju ostvaren je manjak od prihoda poslovanja od 36.807,60€. 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Škola iz prethodnih razdoblja ima na raspolaganju višak od 51.025,86€. Budući da od 2025. godine vrijedi novi tretman prihoda za sve EU projekte, bilo je potrebno korigirati rezultat u 2025. i na kraju ispada da škola ima raspoloživ manjak iz prethodnih go</w:t>
      </w:r>
      <w:r>
        <w:t>dina od 6.301,94€.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2.949.189,23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3.523.904,31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 xml:space="preserve">Ukupno </w:t>
      </w:r>
      <w:proofErr w:type="spellStart"/>
      <w:r>
        <w:t>ostavreni</w:t>
      </w:r>
      <w:proofErr w:type="spellEnd"/>
      <w:r>
        <w:t xml:space="preserve"> rashodi i izdaci za razdoblje siječanj-prosinac 2025. godine iznose: 3.523.767,32€, a odnose se na :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Rashode poslovanja-3.357.069,19€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Rashode za nabavu nefinancijske imovine-166.835,12€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203.779,71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U izvještajnom razdoblju ostvaren je ukupan manjak od 203.779,71€. Do manjka je došlo jer se u 2025. godini trošak plaća za prosinac ne prebacuje više na rashode budućih razdoblja.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1.146.905,99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1.241.105,89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Ukupna vrijednost imovine (B001) povećana je 8,2% u odnosu na stanje 1. siječnja 2025. godine, a odnosi se većinom na dodatna ulaganja na postrojenjima i opremi.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20.640,80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20.869,47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Na računu 129 iskazana su potraživanja od HZZO za bolovanja u iznosu od 20.869,47€. 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18.540,48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Na računu 166 iznos od 4.695,05€ odnosi se na potraživanje od kupaca za obavljene usluge iz vlastite djelatnosti škole.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od prodaje </w:t>
            </w:r>
            <w:r>
              <w:rPr>
                <w:sz w:val="18"/>
              </w:rPr>
              <w:t>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Na računu 17 evidentirana su potraživanja obveznice RH za prodane stanove za devize.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627.537,34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722.168,34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Na računu u iznosu 722.168,34€ evidentirano je slijedeće:</w:t>
      </w:r>
    </w:p>
    <w:p w:rsidR="003D5F60" w:rsidRDefault="00CD50EE">
      <w:pPr>
        <w:pStyle w:val="Odlomakpopisa"/>
        <w:numPr>
          <w:ilvl w:val="0"/>
          <w:numId w:val="1"/>
        </w:numPr>
      </w:pPr>
      <w:r>
        <w:t xml:space="preserve">vrijednost školske zgrade u vlasništvu poduzeća "TPN </w:t>
      </w:r>
      <w:proofErr w:type="spellStart"/>
      <w:r>
        <w:t>Graberje</w:t>
      </w:r>
      <w:proofErr w:type="spellEnd"/>
      <w:r>
        <w:t>" izgrađena po modelu JPP-a u iznosu od 587.992,78€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primljene zadužnice u ukupnom iznosu od 48.544,56€</w:t>
      </w:r>
    </w:p>
    <w:p w:rsidR="003D5F60" w:rsidRDefault="00CD50EE">
      <w:pPr>
        <w:pStyle w:val="Odlomakpopisa"/>
        <w:numPr>
          <w:ilvl w:val="0"/>
          <w:numId w:val="1"/>
        </w:numPr>
      </w:pPr>
      <w:r>
        <w:t>ukupan ugovor o dodjeli sredstava za projekt "Erasmus+2025.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2.949.189,23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3.523.904,31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Ukupni rashodi prema funkcijskoj klasifikaciji za 2025.godinu u odnosu na 2024. godinu su veći za 19,5%.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102.942,80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 Smanjenje obujma nefinancijske imovine odnosi se na ispravak vrijednosti dugotrajne imovine.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U obračunskom razdoblju došlo je do promjena u obujmu imovine. Povećanje u obujmu nefinancijske imovine u iznosu 50,00€ odnosi se na darovane knjige od strane Varaždinske županije.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352.432,64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Stanje obveza na kraju izvještajnog razdoblja iznosilo je 352.432,64€, najvećim dijelom se odnose na plaće zaposlenih.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D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5F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3D5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D5F60" w:rsidRDefault="00CD50E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D5F60" w:rsidRDefault="003D5F60">
      <w:pPr>
        <w:spacing w:after="0"/>
      </w:pPr>
    </w:p>
    <w:p w:rsidR="003D5F60" w:rsidRDefault="00CD50EE">
      <w:r>
        <w:t>Na kraju izvještajnog razdoblja nije bilo dospjelih obveza.</w:t>
      </w:r>
    </w:p>
    <w:p w:rsidR="003D5F60" w:rsidRDefault="003D5F60"/>
    <w:p w:rsidR="003D5F60" w:rsidRDefault="00CD50EE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p w:rsidR="003D5F60" w:rsidRDefault="00CD50EE">
      <w:pPr>
        <w:spacing w:line="240" w:lineRule="auto"/>
        <w:jc w:val="both"/>
      </w:pPr>
      <w:r>
        <w:rPr>
          <w:b/>
        </w:rPr>
        <w:t>EU izvještaj</w:t>
      </w:r>
    </w:p>
    <w:p w:rsidR="003D5F60" w:rsidRDefault="00CD50EE">
      <w:r>
        <w:t>EU izvještaj obuhvaća podatke za tri projekta škole:</w:t>
      </w:r>
    </w:p>
    <w:p w:rsidR="00CD50EE" w:rsidRDefault="00CD50EE"/>
    <w:p w:rsidR="00CD50EE" w:rsidRDefault="00CD50EE" w:rsidP="00CD50EE">
      <w:r>
        <w:t>EU izvještaj obuhvaća podatke za tri projekta škole:</w:t>
      </w:r>
    </w:p>
    <w:p w:rsidR="00CD50EE" w:rsidRDefault="00CD50EE" w:rsidP="00CD50EE">
      <w:pPr>
        <w:pStyle w:val="Odlomakpopisa"/>
        <w:numPr>
          <w:ilvl w:val="0"/>
          <w:numId w:val="2"/>
        </w:numPr>
      </w:pPr>
      <w:proofErr w:type="spellStart"/>
      <w:r>
        <w:t>Erasmus</w:t>
      </w:r>
      <w:proofErr w:type="spellEnd"/>
      <w:r>
        <w:t xml:space="preserve"> +-izvor 510</w:t>
      </w:r>
    </w:p>
    <w:p w:rsidR="00CD50EE" w:rsidRDefault="00CD50EE" w:rsidP="00CD50EE">
      <w:pPr>
        <w:pStyle w:val="Odlomakpopisa"/>
      </w:pPr>
    </w:p>
    <w:p w:rsidR="00CD50EE" w:rsidRDefault="00CD50EE" w:rsidP="00CD50EE">
      <w:r>
        <w:t xml:space="preserve">Ukupni prihodi od projekta </w:t>
      </w:r>
      <w:proofErr w:type="spellStart"/>
      <w:r>
        <w:t>Erasmus</w:t>
      </w:r>
      <w:proofErr w:type="spellEnd"/>
      <w:r>
        <w:t xml:space="preserve"> + za 2025. godinu su iznosili 70.191,00€. Oni se odnose na projekt iz 2024. „</w:t>
      </w:r>
      <w:proofErr w:type="spellStart"/>
      <w:r>
        <w:t>Erasmus</w:t>
      </w:r>
      <w:proofErr w:type="spellEnd"/>
      <w:r>
        <w:t xml:space="preserve">+ za 2024. za Ključnu aktivnost 1 u području strukovnog obrazovanja i osposobljavanja, broj 2024-1-hr01-ka122-vet-000226786“ budući da je on odobren i završen u 2025. godini. Ukupni rashodi od projekta </w:t>
      </w:r>
      <w:proofErr w:type="spellStart"/>
      <w:r>
        <w:t>Erasmus</w:t>
      </w:r>
      <w:proofErr w:type="spellEnd"/>
      <w:r>
        <w:t xml:space="preserve"> + iznose 62.335,68€, od toga 54.856,77€ su troškovi od projekta </w:t>
      </w:r>
      <w:proofErr w:type="spellStart"/>
      <w:r>
        <w:t>Erasmus</w:t>
      </w:r>
      <w:proofErr w:type="spellEnd"/>
      <w:r>
        <w:t xml:space="preserve"> + za 2024. godinu, a preostalih 7.478,91€ se odnosi na troškove novog projekta </w:t>
      </w:r>
      <w:proofErr w:type="spellStart"/>
      <w:r>
        <w:t>Erasmus</w:t>
      </w:r>
      <w:proofErr w:type="spellEnd"/>
      <w:r>
        <w:t xml:space="preserve"> + za 2025. godinu.</w:t>
      </w:r>
    </w:p>
    <w:p w:rsidR="00CD50EE" w:rsidRDefault="00CD50EE" w:rsidP="00CD50EE">
      <w:pPr>
        <w:pStyle w:val="Odlomakpopisa"/>
        <w:numPr>
          <w:ilvl w:val="0"/>
          <w:numId w:val="2"/>
        </w:numPr>
      </w:pPr>
      <w:r>
        <w:t>Asistenti u nastavi "I ti možeš"-izvor 561 Europski socijalni fond</w:t>
      </w:r>
    </w:p>
    <w:p w:rsidR="00CD50EE" w:rsidRDefault="00CD50EE" w:rsidP="00CD50EE">
      <w:pPr>
        <w:pStyle w:val="Odlomakpopisa"/>
      </w:pPr>
    </w:p>
    <w:p w:rsidR="00CD50EE" w:rsidRDefault="00CD50EE" w:rsidP="00CD50EE">
      <w:r>
        <w:t>Ukupni prihodi od tekućih pomoći EU za asistente u nastavi u 2025. godini iznose 5.284,52€ i toliki iznos je utrošen i na rashode. To se koristi za financiranje plaća, prijevoza i darova za asistente u nastavi.</w:t>
      </w:r>
    </w:p>
    <w:p w:rsidR="00CD50EE" w:rsidRDefault="00CD50EE" w:rsidP="00CD50EE">
      <w:pPr>
        <w:pStyle w:val="Odlomakpopisa"/>
        <w:numPr>
          <w:ilvl w:val="0"/>
          <w:numId w:val="2"/>
        </w:numPr>
      </w:pPr>
      <w:r>
        <w:t>Projekt "Rekonstrukcija i opremanje-Graditeljska, prirodoslovna i rudarska škola Varaždin"-izvor 581</w:t>
      </w:r>
    </w:p>
    <w:p w:rsidR="00CD50EE" w:rsidRDefault="00CD50EE" w:rsidP="00CD50EE">
      <w:pPr>
        <w:pStyle w:val="Odlomakpopisa"/>
      </w:pPr>
    </w:p>
    <w:p w:rsidR="00CD50EE" w:rsidRDefault="00CD50EE" w:rsidP="00CD50EE">
      <w:r>
        <w:t>Ukupni prihodi po ovom projektu iznose 32.250,00€, a ukupni rashodi iznose 40.000,00€.</w:t>
      </w:r>
    </w:p>
    <w:p w:rsidR="00CD50EE" w:rsidRDefault="00CD50EE" w:rsidP="00CD50EE">
      <w:r>
        <w:t xml:space="preserve"> Od toga 1.250,00€ je potrošeno na rashode poslovanja za postupak javne nabave, dok je preostalih 38.750,00€ utrošeno na dodatna ulaganja na građevinskim objektima za uslugu izrade projektno-tehničke dokumentacije.</w:t>
      </w:r>
    </w:p>
    <w:p w:rsidR="00CD50EE" w:rsidRDefault="00CD50EE" w:rsidP="00CD50EE"/>
    <w:p w:rsidR="00CD50EE" w:rsidRDefault="00CD50EE" w:rsidP="00CD50EE"/>
    <w:p w:rsidR="00CD50EE" w:rsidRDefault="00CD50EE" w:rsidP="00CD50EE">
      <w:pPr>
        <w:rPr>
          <w:sz w:val="20"/>
        </w:rPr>
      </w:pPr>
    </w:p>
    <w:p w:rsidR="00CD50EE" w:rsidRDefault="00CD50EE" w:rsidP="00CD50EE">
      <w:pPr>
        <w:rPr>
          <w:sz w:val="20"/>
        </w:rPr>
      </w:pPr>
      <w:r>
        <w:rPr>
          <w:sz w:val="20"/>
        </w:rPr>
        <w:t>U Varaždinu, 29.01.2026.                                                                                                     Osoba za kontaktiranje:</w:t>
      </w:r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Matea </w:t>
      </w:r>
      <w:proofErr w:type="spellStart"/>
      <w:r>
        <w:rPr>
          <w:sz w:val="20"/>
        </w:rPr>
        <w:t>Šinko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mag.oec</w:t>
      </w:r>
      <w:proofErr w:type="spellEnd"/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Broj  telefona: 042/200-733</w:t>
      </w:r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Zakonski predstavnik:</w:t>
      </w:r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_________________</w:t>
      </w:r>
    </w:p>
    <w:p w:rsidR="00CD50EE" w:rsidRDefault="00CD50EE" w:rsidP="00CD50EE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Vesna Vrček, prof.</w:t>
      </w:r>
    </w:p>
    <w:p w:rsidR="00CD50EE" w:rsidRDefault="00CD50EE" w:rsidP="00CD50EE">
      <w:bookmarkStart w:id="0" w:name="_GoBack"/>
      <w:bookmarkEnd w:id="0"/>
    </w:p>
    <w:sectPr w:rsidR="00CD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772EF"/>
    <w:multiLevelType w:val="hybridMultilevel"/>
    <w:tmpl w:val="1228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C7ADE"/>
    <w:multiLevelType w:val="hybridMultilevel"/>
    <w:tmpl w:val="BB0AE02A"/>
    <w:name w:val="decimal"/>
    <w:lvl w:ilvl="0" w:tplc="62B4F434">
      <w:start w:val="1"/>
      <w:numFmt w:val="decimal"/>
      <w:lvlText w:val="%1."/>
      <w:lvlJc w:val="left"/>
      <w:pPr>
        <w:ind w:left="720" w:hanging="360"/>
      </w:pPr>
    </w:lvl>
    <w:lvl w:ilvl="1" w:tplc="00FC2214">
      <w:start w:val="1"/>
      <w:numFmt w:val="decimal"/>
      <w:lvlText w:val="%2."/>
      <w:lvlJc w:val="left"/>
      <w:pPr>
        <w:ind w:left="1440" w:hanging="360"/>
      </w:pPr>
    </w:lvl>
    <w:lvl w:ilvl="2" w:tplc="C7AED33C">
      <w:start w:val="1"/>
      <w:numFmt w:val="decimal"/>
      <w:lvlText w:val="%3."/>
      <w:lvlJc w:val="left"/>
      <w:pPr>
        <w:ind w:left="2160" w:hanging="360"/>
      </w:pPr>
    </w:lvl>
    <w:lvl w:ilvl="3" w:tplc="45C4D4BA">
      <w:start w:val="1"/>
      <w:numFmt w:val="decimal"/>
      <w:lvlText w:val="%4."/>
      <w:lvlJc w:val="left"/>
      <w:pPr>
        <w:ind w:left="2880" w:hanging="360"/>
      </w:pPr>
    </w:lvl>
    <w:lvl w:ilvl="4" w:tplc="6A80079E">
      <w:start w:val="1"/>
      <w:numFmt w:val="decimal"/>
      <w:lvlText w:val="%5."/>
      <w:lvlJc w:val="left"/>
      <w:pPr>
        <w:ind w:left="3600" w:hanging="360"/>
      </w:pPr>
    </w:lvl>
    <w:lvl w:ilvl="5" w:tplc="AF84F828">
      <w:start w:val="1"/>
      <w:numFmt w:val="decimal"/>
      <w:lvlText w:val="%6."/>
      <w:lvlJc w:val="left"/>
      <w:pPr>
        <w:ind w:left="4320" w:hanging="360"/>
      </w:pPr>
    </w:lvl>
    <w:lvl w:ilvl="6" w:tplc="BAC0E806">
      <w:start w:val="1"/>
      <w:numFmt w:val="decimal"/>
      <w:lvlText w:val="%7."/>
      <w:lvlJc w:val="left"/>
      <w:pPr>
        <w:ind w:left="5040" w:hanging="360"/>
      </w:pPr>
    </w:lvl>
    <w:lvl w:ilvl="7" w:tplc="C876F9FE">
      <w:start w:val="1"/>
      <w:numFmt w:val="decimal"/>
      <w:lvlText w:val="%8."/>
      <w:lvlJc w:val="left"/>
      <w:pPr>
        <w:ind w:left="5760" w:hanging="360"/>
      </w:pPr>
    </w:lvl>
    <w:lvl w:ilvl="8" w:tplc="49222C62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60"/>
    <w:rsid w:val="003D5F60"/>
    <w:rsid w:val="00C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8C5C"/>
  <w15:docId w15:val="{5D0BDF8B-8B14-41F6-8BD0-E60F3733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qFormat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2026-02-18T11:37:00Z</dcterms:created>
  <dcterms:modified xsi:type="dcterms:W3CDTF">2026-02-18T11:37:00Z</dcterms:modified>
</cp:coreProperties>
</file>